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19" w:rsidRPr="00A42A19" w:rsidRDefault="00A42A19" w:rsidP="00A42A19">
      <w:pPr>
        <w:jc w:val="center"/>
        <w:rPr>
          <w:rFonts w:ascii="Times New Roman" w:hAnsi="Times New Roman" w:cs="Times New Roman"/>
          <w:b/>
          <w:sz w:val="24"/>
          <w:szCs w:val="24"/>
        </w:rPr>
      </w:pPr>
      <w:r w:rsidRPr="00A42A19">
        <w:rPr>
          <w:rFonts w:ascii="Times New Roman" w:hAnsi="Times New Roman" w:cs="Times New Roman"/>
          <w:b/>
          <w:sz w:val="24"/>
          <w:szCs w:val="24"/>
        </w:rPr>
        <w:t>TEBLİĞ</w:t>
      </w:r>
    </w:p>
    <w:p w:rsidR="00A25256" w:rsidRPr="00A25256" w:rsidRDefault="00A25256" w:rsidP="00A25256">
      <w:pPr>
        <w:jc w:val="both"/>
        <w:rPr>
          <w:rFonts w:ascii="Times New Roman" w:hAnsi="Times New Roman" w:cs="Times New Roman"/>
          <w:sz w:val="24"/>
          <w:szCs w:val="24"/>
          <w:u w:val="single"/>
        </w:rPr>
      </w:pPr>
      <w:r w:rsidRPr="00A25256">
        <w:rPr>
          <w:rFonts w:ascii="Times New Roman" w:hAnsi="Times New Roman" w:cs="Times New Roman"/>
          <w:sz w:val="24"/>
          <w:szCs w:val="24"/>
          <w:u w:val="single"/>
        </w:rPr>
        <w:t>Hazine ve Maliye Bakanlığından:</w:t>
      </w:r>
    </w:p>
    <w:p w:rsidR="00A25256" w:rsidRPr="00A25256" w:rsidRDefault="00A25256" w:rsidP="00A25256">
      <w:pPr>
        <w:jc w:val="both"/>
        <w:rPr>
          <w:rFonts w:ascii="Times New Roman" w:hAnsi="Times New Roman" w:cs="Times New Roman"/>
          <w:b/>
          <w:bCs/>
          <w:sz w:val="24"/>
          <w:szCs w:val="24"/>
        </w:rPr>
      </w:pPr>
      <w:r w:rsidRPr="00A25256">
        <w:rPr>
          <w:rFonts w:ascii="Times New Roman" w:hAnsi="Times New Roman" w:cs="Times New Roman"/>
          <w:b/>
          <w:bCs/>
          <w:sz w:val="24"/>
          <w:szCs w:val="24"/>
        </w:rPr>
        <w:t>TÜRK PARASI KIYMETİNİ KORUMA HAKKINDA 32 SAYILI KARARA İLİŞKİN</w:t>
      </w:r>
    </w:p>
    <w:p w:rsidR="00A25256" w:rsidRPr="00A25256" w:rsidRDefault="00A25256" w:rsidP="00A25256">
      <w:pPr>
        <w:jc w:val="both"/>
        <w:rPr>
          <w:rFonts w:ascii="Times New Roman" w:hAnsi="Times New Roman" w:cs="Times New Roman"/>
          <w:b/>
          <w:bCs/>
          <w:sz w:val="24"/>
          <w:szCs w:val="24"/>
        </w:rPr>
      </w:pPr>
      <w:r w:rsidRPr="00A25256">
        <w:rPr>
          <w:rFonts w:ascii="Times New Roman" w:hAnsi="Times New Roman" w:cs="Times New Roman"/>
          <w:b/>
          <w:bCs/>
          <w:sz w:val="24"/>
          <w:szCs w:val="24"/>
        </w:rPr>
        <w:t>TEBLİĞ (TEBLİĞ NO: 2008-32/34)’DE DEĞİŞİKLİK YAPILMASINA</w:t>
      </w:r>
    </w:p>
    <w:p w:rsidR="00A25256" w:rsidRPr="00A25256" w:rsidRDefault="00A25256" w:rsidP="00A25256">
      <w:pPr>
        <w:jc w:val="both"/>
        <w:rPr>
          <w:rFonts w:ascii="Times New Roman" w:hAnsi="Times New Roman" w:cs="Times New Roman"/>
          <w:b/>
          <w:bCs/>
          <w:sz w:val="24"/>
          <w:szCs w:val="24"/>
        </w:rPr>
      </w:pPr>
      <w:r w:rsidRPr="00A25256">
        <w:rPr>
          <w:rFonts w:ascii="Times New Roman" w:hAnsi="Times New Roman" w:cs="Times New Roman"/>
          <w:b/>
          <w:bCs/>
          <w:sz w:val="24"/>
          <w:szCs w:val="24"/>
        </w:rPr>
        <w:t>DAİR TEBLİĞ (TEBLİ</w:t>
      </w:r>
      <w:bookmarkStart w:id="0" w:name="_GoBack"/>
      <w:bookmarkEnd w:id="0"/>
      <w:r w:rsidRPr="00A25256">
        <w:rPr>
          <w:rFonts w:ascii="Times New Roman" w:hAnsi="Times New Roman" w:cs="Times New Roman"/>
          <w:b/>
          <w:bCs/>
          <w:sz w:val="24"/>
          <w:szCs w:val="24"/>
        </w:rPr>
        <w:t>Ğ NO: 2018-32/52)</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b/>
          <w:bCs/>
          <w:sz w:val="24"/>
          <w:szCs w:val="24"/>
        </w:rPr>
        <w:t>MADDE 1 –</w:t>
      </w:r>
      <w:r w:rsidRPr="00A25256">
        <w:rPr>
          <w:rFonts w:ascii="Times New Roman" w:hAnsi="Times New Roman" w:cs="Times New Roman"/>
          <w:sz w:val="24"/>
          <w:szCs w:val="24"/>
        </w:rPr>
        <w:t> </w:t>
      </w:r>
      <w:proofErr w:type="gramStart"/>
      <w:r w:rsidRPr="00A25256">
        <w:rPr>
          <w:rFonts w:ascii="Times New Roman" w:hAnsi="Times New Roman" w:cs="Times New Roman"/>
          <w:sz w:val="24"/>
          <w:szCs w:val="24"/>
        </w:rPr>
        <w:t>28/2/2008</w:t>
      </w:r>
      <w:proofErr w:type="gramEnd"/>
      <w:r w:rsidRPr="00A25256">
        <w:rPr>
          <w:rFonts w:ascii="Times New Roman" w:hAnsi="Times New Roman" w:cs="Times New Roman"/>
          <w:sz w:val="24"/>
          <w:szCs w:val="24"/>
        </w:rPr>
        <w:t xml:space="preserve"> tarihli ve 26801 sayılı Resmî </w:t>
      </w:r>
      <w:proofErr w:type="spellStart"/>
      <w:r w:rsidRPr="00A25256">
        <w:rPr>
          <w:rFonts w:ascii="Times New Roman" w:hAnsi="Times New Roman" w:cs="Times New Roman"/>
          <w:sz w:val="24"/>
          <w:szCs w:val="24"/>
        </w:rPr>
        <w:t>Gazete’de</w:t>
      </w:r>
      <w:proofErr w:type="spellEnd"/>
      <w:r w:rsidRPr="00A25256">
        <w:rPr>
          <w:rFonts w:ascii="Times New Roman" w:hAnsi="Times New Roman" w:cs="Times New Roman"/>
          <w:sz w:val="24"/>
          <w:szCs w:val="24"/>
        </w:rPr>
        <w:t xml:space="preserve"> yayımlanan Türk Parası Kıymetini Koruma Hakkında 32 Sayılı Karara İlişkin Tebliğ (Tebliğ No: 2008-32/34)’in 8 inci maddesi aşağıdaki şekilde değiştirilmiştir.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w:t>
      </w:r>
      <w:r w:rsidRPr="00A25256">
        <w:rPr>
          <w:rFonts w:ascii="Times New Roman" w:hAnsi="Times New Roman" w:cs="Times New Roman"/>
          <w:b/>
          <w:bCs/>
          <w:sz w:val="24"/>
          <w:szCs w:val="24"/>
        </w:rPr>
        <w:t>MADDE 8 – </w:t>
      </w:r>
      <w:r w:rsidRPr="00A25256">
        <w:rPr>
          <w:rFonts w:ascii="Times New Roman" w:hAnsi="Times New Roman" w:cs="Times New Roman"/>
          <w:sz w:val="24"/>
          <w:szCs w:val="24"/>
        </w:rPr>
        <w:t>(1) Türkiye’de yerleşik kişiler kendi aralarında akdedecekleri; konusu 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 Türkiye’de yerleşik kişiler kendi aralarında akdedecekleri; konusu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(3) Türkiye Cumhuriyeti Devleti ile vatandaşlık bağı bulunmayan Türkiye’de yerleşik kişilerin veya bu maddenin on dokuzuncu fıkrasında belirtilen kişilerin alıcı veya kiracı olarak taraf oldukları gayrimenkul satış ve gayrimenkul kiralama sözleşmelerinde, sözleşme bedelinin ve bu sözleşmelerden kaynaklanan diğer ödeme yükümlülüklerinin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(4) Kültür ve Turizm Bakanlığından belgeli konaklama tesislerinin işletilmesi amacıyla kiralanmasıyla ilgili gayrimenkul kiralama sözleşmelerinde, sözleşme bedelinin ve bu sözleşmelerden kaynaklanan diğer ödeme yükümlülüklerinin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(5) Gümrüksüz satış mağazalarının kiralanmasına ilişkin gayrimenkul kiralama sözleşmelerinde, sözleşme bedelinin ve bu sözleşmelerden kaynaklanan diğer ödeme yükümlülüklerinin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(6) Türkiye’de yerleşik kişiler kendi aralarında akdedecekleri; yurt dışında ifa edilecekler ile gemi adamlarının taraf oldukları dışında kalan iş sözleşmelerinde sözleşme bedelini ve bu sözleşmelerden kaynaklanan diğer ödeme yükümlülüklerini döviz cinsinden veya dövize endeksli olarak kararlaştıramazlar.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(7)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lastRenderedPageBreak/>
        <w:t>a) Türkiye Cumhuriyeti Devleti ile vatandaşlık bağı bulunmayan kişilerin taraf oldukları hizmet sözleşmeleri,</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b) İhracat, transit ticaret, ihracat sayılan satış ve teslimler ile döviz kazandırıcı hizmet ve faaliyetler kapsamında yapılan hizmet sözleşmeleri,</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c) Türkiye’de yerleşik kişilerin yurtdışında gerçekleştirecekleri faaliyetler kapsamında yapılan hizmet sözleşmeleri,</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ç) Türkiye’de yerleşik kişilerin kendi aralarında akdedecekleri; Türkiye’de başlayıp yurtdışında sonlanan, yurtdışında başlayıp Türkiye’de sonlanan veya yurt dışında başlayıp yurtdışında sonlanan hizmet sözleşmeleri.</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(8) Türkiye’de yerleşik kişilerin kendi aralarında akdedecekleri; döviz cinsinden maliyet içeren eser sözleşmelerinde, sözleşme bedelini ve bu sözleşmelerden kaynaklanan diğer ödeme yükümlülüklerini döviz cinsinden veya dövize endeksli olarak kararlaştırmaları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(9) Türkiye’de yerleşik kişilerin kendi aralarında akdedecekleri; taşıt satış sözleşmeleri dışında kalan menkul satış sözleşmelerinde sözleşme bedelini ve bu sözleşmelerden kaynaklanan diğer ödeme yükümlülüklerini döviz cinsinden veya dövize endeksli olarak kararlaştırmaları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(10) Türkiye’de yerleşik kişilerin kendi aralarında akdedecekleri; taşıt kiralama sözleşmeleri dışında kalan menkul kiralama sözleşmelerinde sözleşme bedelini ve bu sözleşmelerden kaynaklanan diğer ödeme yükümlülüklerini döviz cinsinden veya dövize endeksli olarak kararlaştırmaları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(11) Türkiye’de yerleşik kişilerin kendi aralarında akdedecekleri; bilişim teknolojileri kapsamında yurt dışında üretilen yazılımlara ilişkin satış sözleşmeleri ile yurt dışında üretilen donanım ve yazılımlara ilişkin lisans ve hizmet sözleşmelerinde sözleşme bedelini ve bu sözleşmelerden kaynaklanan diğer ödeme yükümlülüklerini döviz cinsinden veya dövize endeksli olarak kararlaştırmaları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(12)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(13) 32 sayılı Kararın 17 ve 17/A maddeleri kapsamında yapılacak finansal kiralama (leasing) sözleşmelerine ilişkin bedellerin döviz cinsinden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(14)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lastRenderedPageBreak/>
        <w:t>(15) On altıncı fıkra hükümleri saklı kalmak kaydıyla, kamu kurum ve kuruluşlarının veya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(16) Kamu kurum ve kuruluşlarının taraf olduğu döviz cinsinden veya dövize endeksli ihaleler, sözleşmeler ve milletlerarası </w:t>
      </w:r>
      <w:proofErr w:type="spellStart"/>
      <w:r w:rsidRPr="00A25256">
        <w:rPr>
          <w:rFonts w:ascii="Times New Roman" w:hAnsi="Times New Roman" w:cs="Times New Roman"/>
          <w:sz w:val="24"/>
          <w:szCs w:val="24"/>
        </w:rPr>
        <w:t>andlaşmaların</w:t>
      </w:r>
      <w:proofErr w:type="spellEnd"/>
      <w:r w:rsidRPr="00A25256">
        <w:rPr>
          <w:rFonts w:ascii="Times New Roman" w:hAnsi="Times New Roman" w:cs="Times New Roman"/>
          <w:sz w:val="24"/>
          <w:szCs w:val="24"/>
        </w:rPr>
        <w:t> ifası kapsamında gerçekleştirilecek olan projeler </w:t>
      </w:r>
      <w:proofErr w:type="gramStart"/>
      <w:r w:rsidRPr="00A25256">
        <w:rPr>
          <w:rFonts w:ascii="Times New Roman" w:hAnsi="Times New Roman" w:cs="Times New Roman"/>
          <w:sz w:val="24"/>
          <w:szCs w:val="24"/>
        </w:rPr>
        <w:t>dahilinde</w:t>
      </w:r>
      <w:proofErr w:type="gramEnd"/>
      <w:r w:rsidRPr="00A25256">
        <w:rPr>
          <w:rFonts w:ascii="Times New Roman" w:hAnsi="Times New Roman" w:cs="Times New Roman"/>
          <w:sz w:val="24"/>
          <w:szCs w:val="24"/>
        </w:rPr>
        <w:t>; yükleniciler veya görevli şirketlerin ve bunların sözleşme imzaladığı tarafların üçüncü taraflarla akdedeceği veya bahsi geçen projeler çerçevesinde akdedilecek, gayrimenkul satış sözleşmeleri ve iş sözleşmeleri dışında kalan sözleşmelerde, sözleşme bedelinin ve bu sözleşmelerden kaynaklanan diğer ödeme yükümlülüklerinin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(17) 4749 sayılı Kamu Finansmanı ve Borç Yönetiminin Düzenlenmesi Hakkında Kanun kapsamında gerçekleştirilen işlemlere ilişkin olarak yapılan sözleşmelerde sözleşme bedelinin ve bu sözleşmelerden kaynaklanan diğer ödeme yükümlülüklerinin döviz cinsinden veya dövize endeksli olarak kararlaştırılması mümkündür. Bu işlemlerle ilgili olarak bankaların taraf olduğu sözleşmelerde, sözleşme bedelinin ve bu sözleşmelerden kaynaklanan diğer ödeme yükümlülüklerin döviz cinsinden veya dövize endeksli olarak kararlaştırılması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(18)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sidRPr="00A25256">
        <w:rPr>
          <w:rFonts w:ascii="Times New Roman" w:hAnsi="Times New Roman" w:cs="Times New Roman"/>
          <w:sz w:val="24"/>
          <w:szCs w:val="24"/>
        </w:rPr>
        <w:t>dahil</w:t>
      </w:r>
      <w:proofErr w:type="gramEnd"/>
      <w:r w:rsidRPr="00A25256">
        <w:rPr>
          <w:rFonts w:ascii="Times New Roman" w:hAnsi="Times New Roman" w:cs="Times New Roman"/>
          <w:sz w:val="24"/>
          <w:szCs w:val="24"/>
        </w:rPr>
        <w:t> olmak üzere) döviz cinsinden oluşturulması, ihracı, alım satımı ve yapılan işlemlere ilişkin yükümlülüklerin döviz cinsinden kararlaştırılması mümkündür.</w:t>
      </w:r>
    </w:p>
    <w:p w:rsidR="00A25256" w:rsidRPr="00A25256" w:rsidRDefault="00A25256" w:rsidP="00A25256">
      <w:pPr>
        <w:jc w:val="both"/>
        <w:rPr>
          <w:rFonts w:ascii="Times New Roman" w:hAnsi="Times New Roman" w:cs="Times New Roman"/>
          <w:sz w:val="24"/>
          <w:szCs w:val="24"/>
        </w:rPr>
      </w:pPr>
      <w:proofErr w:type="gramStart"/>
      <w:r w:rsidRPr="00A25256">
        <w:rPr>
          <w:rFonts w:ascii="Times New Roman" w:hAnsi="Times New Roman" w:cs="Times New Roman"/>
          <w:sz w:val="24"/>
          <w:szCs w:val="24"/>
        </w:rPr>
        <w:t>(19) Dışarıda yerleşik kişilerin Türkiye’de bulunan; şube, temsilcilik, ofis, irtibat bürosu, doğrudan veya dolaylı olarak yüzde elli ve üzerinde pay sahipliklerinin veya ortak kontrol ve/veya kontrolüne sahip bulunduğu şirketler ile serbest bölgedeki faaliyetleri kapsamında serbest bölgelerdeki şirketlerin işveren veya hizmet alan olarak taraf olduğu iş ve hizmet sözleşmelerinde, sözleşme bedelinin ve bu sözleşmelerden kaynaklanan diğer ödeme yükümlülüklerinin döviz cinsinden veya dövize endeksli olarak kararlaştırılması mümkündür.</w:t>
      </w:r>
      <w:proofErr w:type="gramEnd"/>
    </w:p>
    <w:p w:rsidR="00A25256" w:rsidRPr="00A25256" w:rsidRDefault="00A25256" w:rsidP="00A25256">
      <w:pPr>
        <w:jc w:val="both"/>
        <w:rPr>
          <w:rFonts w:ascii="Times New Roman" w:hAnsi="Times New Roman" w:cs="Times New Roman"/>
          <w:sz w:val="24"/>
          <w:szCs w:val="24"/>
        </w:rPr>
      </w:pPr>
      <w:proofErr w:type="gramStart"/>
      <w:r w:rsidRPr="00A25256">
        <w:rPr>
          <w:rFonts w:ascii="Times New Roman" w:hAnsi="Times New Roman" w:cs="Times New Roman"/>
          <w:sz w:val="24"/>
          <w:szCs w:val="24"/>
        </w:rPr>
        <w:t>(20)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yüzde elli hisse oranına sahip olduğu ortaklıkların Türkiye’de yerleşik kişilerle döviz cinsinden veya dövize endeksli bedeller içeren gayrimenkul satış, gayrimenkul kiralama ve iş sözleşmeleri haricindeki sözleşmeleri akdetmeleri mümkündür.</w:t>
      </w:r>
      <w:proofErr w:type="gramEnd"/>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lastRenderedPageBreak/>
        <w:t>(21)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 Ancak, 32 sayılı Kararın Geçici 8 inci maddesinin yürürlüğe girdiği tarihten önce düzenlenmiş ve dolaşıma girmiş bulunan bu kapsamdaki kıymetli evraklar anılan geçici madde hükmünden istisnadır.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(22) Uluslararası piyasalarda fiyatı döviz cinsinden belirlenen kıymetli madenlere ve/veya emtiaya endekslenen ve/veya dolaylı olarak dövize endekslenen sözleşmeler, 32 sayılı Kararın 4 üncü maddesinin (g) bendi uygulaması kapsamında dövize endeksli sözleşme olarak değerlendirilir. Ancak, taşımacılık faaliyetlerine ilişkin hizmet sözleşmelerinde akaryakıt fiyatlarına endeksleme yapılması mümkündür.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(23) Türkiye’de yerleşik kişilerin yurt dışındaki; şube, temsilcilik, ofis, irtibat bürosu, işlettiği veya yönettiği fonlar, doğrudan veya dolaylı olarak yüzde elli ve üzerinde pay sahipliklerinin bulunduğu şirketler 32 sayılı Kararın 4 üncü maddesinin (g) bendi uygulaması kapsamında Türkiye’de yerleşik olarak değerlendirilir. Ancak, sözleşmenin yurt dışında ifa edilmesi durumunda bu fıkra hükmü uygulanmaz.</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(24) Bu madde uyarınca akdedilecek sözleşmelerde istisna kapsamına alınan, ancak 32 sayılı Kararın Geçici 8 inci maddesinin yürürlüğe girdiği tarihten önce akdedilmiş bulunan sözleşmeler de anılan geçici madde hükmünden istisnadır.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(25) 32 sayılı Kararın Geçici 8 inci maddesinin yürürlüğe girdiği tarihten önce akdedilmiş bulunan, taşıt kiralama ve yolcu taşıma amaçlı ticari taşıt satış sözleşmeleri anılan geçici madde hükmünden istisnadır.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(26) 32 sayılı Kararın Geçici 8 inci maddesinin yürürlüğe girdiği tarihten önce akdedilmiş bulunan, menkul ve gayrimenkullere ilişkin finansal kiralama sözleşmeleri anılan geçici madde hükmünden istisnadır.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(27) Bu madde uyarınca sözleşme bedeli ve bu sözleşmelerden kaynaklanan diğer ödeme yükümlülükleri döviz cinsinden veya dövize endeksli olarak kararlaştırılması mümkün olmayan sözleşmelerde yer alan bedellerin 32 sayılı Kararın Geçici 8 inci maddesi kapsamında Türk parası olarak taraflarca yeniden belirlenmesi zorunludur.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(28) Bu madde uyarınca sözleşme bedeli ve bu sözleşmelerden kaynaklanan diğer ödeme yükümlülükleri döviz cinsinden veya dövize endeksli olarak kararlaştırılması mümkün olmayan sözleşmelerde yer alan bedeller 32 sayılı Kararın Geçici 8 inci maddesi kapsamında Türk parası olarak taraflarca yeniden belirlenirken mutabakata varılamazsa; akdedilen sözleşmelerde döviz veya dövize endeksli olarak belirlenen bedeller, söz konusu bedellerin </w:t>
      </w:r>
      <w:proofErr w:type="gramStart"/>
      <w:r w:rsidRPr="00A25256">
        <w:rPr>
          <w:rFonts w:ascii="Times New Roman" w:hAnsi="Times New Roman" w:cs="Times New Roman"/>
          <w:sz w:val="24"/>
          <w:szCs w:val="24"/>
        </w:rPr>
        <w:t>2/1/2018</w:t>
      </w:r>
      <w:proofErr w:type="gramEnd"/>
      <w:r w:rsidRPr="00A25256">
        <w:rPr>
          <w:rFonts w:ascii="Times New Roman" w:hAnsi="Times New Roman" w:cs="Times New Roman"/>
          <w:sz w:val="24"/>
          <w:szCs w:val="24"/>
        </w:rPr>
        <w:t>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lastRenderedPageBreak/>
        <w:t>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w:t>
      </w:r>
      <w:proofErr w:type="gramStart"/>
      <w:r w:rsidRPr="00A25256">
        <w:rPr>
          <w:rFonts w:ascii="Times New Roman" w:hAnsi="Times New Roman" w:cs="Times New Roman"/>
          <w:sz w:val="24"/>
          <w:szCs w:val="24"/>
        </w:rPr>
        <w:t>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sz w:val="24"/>
          <w:szCs w:val="24"/>
        </w:rPr>
        <w:t>Bu madde uyarınca sözleşme bedeli ve bu sözleşmelerden kaynaklanan diğer ödeme yükümlülükleri döviz cinsinden veya dövize endeksli olarak kararlaştırılması mümkün olmayan sözleşmelerde tahsili yapılmış veya gecikmiş alacaklar ile gayrimenkul kira sözleşmeleri kapsamında verilen depozitolar ve sözleşmelerin ifası kapsamında dolaşıma girmiş kıymetli evraklar için bu fıkra hükmü uygulanmaz.”</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b/>
          <w:bCs/>
          <w:sz w:val="24"/>
          <w:szCs w:val="24"/>
        </w:rPr>
        <w:t>MADDE 2 – </w:t>
      </w:r>
      <w:r w:rsidRPr="00A25256">
        <w:rPr>
          <w:rFonts w:ascii="Times New Roman" w:hAnsi="Times New Roman" w:cs="Times New Roman"/>
          <w:sz w:val="24"/>
          <w:szCs w:val="24"/>
        </w:rPr>
        <w:t>Bu Tebliğ yayımı tarihinde yürürlüğe girer.</w:t>
      </w:r>
    </w:p>
    <w:p w:rsidR="00A25256" w:rsidRPr="00A25256" w:rsidRDefault="00A25256" w:rsidP="00A25256">
      <w:pPr>
        <w:jc w:val="both"/>
        <w:rPr>
          <w:rFonts w:ascii="Times New Roman" w:hAnsi="Times New Roman" w:cs="Times New Roman"/>
          <w:sz w:val="24"/>
          <w:szCs w:val="24"/>
        </w:rPr>
      </w:pPr>
      <w:r w:rsidRPr="00A25256">
        <w:rPr>
          <w:rFonts w:ascii="Times New Roman" w:hAnsi="Times New Roman" w:cs="Times New Roman"/>
          <w:b/>
          <w:bCs/>
          <w:sz w:val="24"/>
          <w:szCs w:val="24"/>
        </w:rPr>
        <w:t>MADDE 3 – </w:t>
      </w:r>
      <w:r w:rsidRPr="00A25256">
        <w:rPr>
          <w:rFonts w:ascii="Times New Roman" w:hAnsi="Times New Roman" w:cs="Times New Roman"/>
          <w:sz w:val="24"/>
          <w:szCs w:val="24"/>
        </w:rPr>
        <w:t>Bu Tebliğ hükümlerini Hazine ve Maliye Bakanı yürütür.</w:t>
      </w:r>
    </w:p>
    <w:p w:rsidR="00306717" w:rsidRPr="00A25256" w:rsidRDefault="00A42A19" w:rsidP="00A25256">
      <w:pPr>
        <w:jc w:val="both"/>
        <w:rPr>
          <w:rFonts w:ascii="Times New Roman" w:hAnsi="Times New Roman" w:cs="Times New Roman"/>
          <w:sz w:val="24"/>
          <w:szCs w:val="24"/>
        </w:rPr>
      </w:pPr>
    </w:p>
    <w:sectPr w:rsidR="00306717" w:rsidRPr="00A25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56"/>
    <w:rsid w:val="004B44F8"/>
    <w:rsid w:val="00A25256"/>
    <w:rsid w:val="00A42A19"/>
    <w:rsid w:val="00EB4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1987</Words>
  <Characters>11326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MERİÇ</dc:creator>
  <cp:lastModifiedBy>Gizem MERİÇ</cp:lastModifiedBy>
  <cp:revision>2</cp:revision>
  <dcterms:created xsi:type="dcterms:W3CDTF">2018-11-19T12:12:00Z</dcterms:created>
  <dcterms:modified xsi:type="dcterms:W3CDTF">2018-11-19T13:01:00Z</dcterms:modified>
</cp:coreProperties>
</file>